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(2-hydroxypropyl)trimethylammonium 2-ethylhexanoate</w:t>
      </w:r>
      <w:r>
        <w:rPr>
          <w:rFonts w:hint="default"/>
          <w:b/>
          <w:bCs/>
          <w:sz w:val="28"/>
          <w:szCs w:val="28"/>
          <w:lang w:val="en-US"/>
        </w:rPr>
        <w:t xml:space="preserve">  </w:t>
      </w:r>
      <w:r>
        <w:rPr>
          <w:rFonts w:hint="eastAsia"/>
          <w:b/>
          <w:bCs/>
          <w:sz w:val="28"/>
          <w:szCs w:val="28"/>
        </w:rPr>
        <w:t>CAS62314-22-1</w:t>
      </w:r>
    </w:p>
    <w:p>
      <w:pPr>
        <w:rPr>
          <w:rFonts w:hint="eastAsia"/>
          <w:sz w:val="24"/>
          <w:szCs w:val="24"/>
        </w:rPr>
      </w:pPr>
    </w:p>
    <w:p>
      <w:pPr>
        <w:rPr>
          <w:rFonts w:hint="eastAsia"/>
          <w:sz w:val="24"/>
          <w:szCs w:val="24"/>
        </w:rPr>
      </w:pPr>
      <w:r>
        <w:rPr>
          <w:rFonts w:hint="eastAsia"/>
          <w:sz w:val="24"/>
          <w:szCs w:val="24"/>
        </w:rPr>
        <w:t>Polyurethane catalyst: Dabco TMR equal (with Stable supply, excellent quality and good price)</w:t>
      </w:r>
      <w:r>
        <w:rPr>
          <w:rFonts w:hint="eastAsia"/>
          <w:sz w:val="24"/>
          <w:szCs w:val="24"/>
        </w:rPr>
        <w:tab/>
      </w:r>
      <w:r>
        <w:rPr>
          <w:rFonts w:hint="eastAsia"/>
          <w:sz w:val="24"/>
          <w:szCs w:val="24"/>
        </w:rPr>
        <w:t xml:space="preserve"> </w:t>
      </w:r>
    </w:p>
    <w:p>
      <w:pPr>
        <w:rPr>
          <w:rFonts w:hint="eastAsia"/>
          <w:sz w:val="24"/>
          <w:szCs w:val="24"/>
        </w:rPr>
      </w:pPr>
      <w:r>
        <w:rPr>
          <w:rFonts w:hint="eastAsia"/>
          <w:sz w:val="24"/>
          <w:szCs w:val="24"/>
        </w:rPr>
        <w:t>(2-hydroxypropyl)trimethylammonium 2-ethylhexanoate</w:t>
      </w:r>
      <w:bookmarkStart w:id="0" w:name="_GoBack"/>
      <w:bookmarkEnd w:id="0"/>
    </w:p>
    <w:p>
      <w:pPr>
        <w:rPr>
          <w:rFonts w:hint="eastAsia"/>
          <w:sz w:val="24"/>
          <w:szCs w:val="24"/>
        </w:rPr>
      </w:pPr>
      <w:r>
        <w:rPr>
          <w:rFonts w:hint="eastAsia"/>
          <w:sz w:val="24"/>
          <w:szCs w:val="24"/>
        </w:rPr>
        <w:t>CAS：</w:t>
      </w:r>
      <w:r>
        <w:rPr>
          <w:rFonts w:hint="eastAsia"/>
          <w:sz w:val="24"/>
          <w:szCs w:val="24"/>
        </w:rPr>
        <w:tab/>
      </w:r>
      <w:r>
        <w:rPr>
          <w:rFonts w:hint="eastAsia"/>
          <w:sz w:val="24"/>
          <w:szCs w:val="24"/>
        </w:rPr>
        <w:t>62314-22-1</w:t>
      </w:r>
    </w:p>
    <w:p>
      <w:pPr>
        <w:rPr>
          <w:rFonts w:hint="eastAsia"/>
          <w:sz w:val="24"/>
          <w:szCs w:val="24"/>
        </w:rPr>
      </w:pPr>
    </w:p>
    <w:p>
      <w:pPr>
        <w:rPr>
          <w:rFonts w:hint="eastAsia"/>
          <w:b/>
          <w:bCs/>
          <w:sz w:val="28"/>
          <w:szCs w:val="28"/>
        </w:rPr>
      </w:pPr>
      <w:r>
        <w:rPr>
          <w:rFonts w:hint="eastAsia"/>
          <w:b/>
          <w:bCs/>
          <w:sz w:val="28"/>
          <w:szCs w:val="28"/>
        </w:rPr>
        <w:t>Overview:</w:t>
      </w:r>
    </w:p>
    <w:p>
      <w:pPr>
        <w:jc w:val="left"/>
        <w:rPr>
          <w:rFonts w:hint="eastAsia"/>
          <w:sz w:val="24"/>
          <w:szCs w:val="24"/>
        </w:rPr>
      </w:pPr>
      <w:r>
        <w:rPr>
          <w:rFonts w:hint="eastAsia"/>
          <w:sz w:val="24"/>
          <w:szCs w:val="24"/>
        </w:rPr>
        <w:t>Common Name:</w:t>
      </w:r>
      <w:r>
        <w:rPr>
          <w:rFonts w:hint="eastAsia"/>
          <w:sz w:val="24"/>
          <w:szCs w:val="24"/>
        </w:rPr>
        <w:tab/>
      </w:r>
      <w:r>
        <w:rPr>
          <w:rFonts w:hint="eastAsia"/>
          <w:sz w:val="24"/>
          <w:szCs w:val="24"/>
        </w:rPr>
        <w:t>(2-hydroxypropyl)trimethylammonium 2-ethylhexanoate</w:t>
      </w:r>
    </w:p>
    <w:p>
      <w:pPr>
        <w:jc w:val="left"/>
        <w:rPr>
          <w:rFonts w:hint="default"/>
          <w:sz w:val="24"/>
          <w:szCs w:val="24"/>
          <w:lang w:val="en-US"/>
        </w:rPr>
      </w:pPr>
      <w:r>
        <w:rPr>
          <w:rFonts w:hint="eastAsia"/>
          <w:sz w:val="24"/>
          <w:szCs w:val="24"/>
        </w:rPr>
        <w:t>Other Chemical names: 1-Propanaminium, 2-hydroxy-N,N,N-trimethyl-, salt with 2-ethylhexanoic acid (1:1);(2-hydroxypropyl)trimethylammonium 2-ethylhexanoate;1-Propanaminium, 2-hydroxy-N,N,N-trimethyl-, 2-ethylhexanoate (1:1)</w:t>
      </w:r>
      <w:r>
        <w:rPr>
          <w:rFonts w:hint="default"/>
          <w:sz w:val="24"/>
          <w:szCs w:val="24"/>
          <w:lang w:val="en-US"/>
        </w:rPr>
        <w:t>,1-Propanaminium, 2-hydroxy-N,N,N-trimethyl-, 2-ethylhexanoate (1:1)</w:t>
      </w:r>
    </w:p>
    <w:p>
      <w:pPr>
        <w:jc w:val="left"/>
        <w:rPr>
          <w:rFonts w:hint="default"/>
          <w:sz w:val="24"/>
          <w:szCs w:val="24"/>
          <w:lang w:val="en-US"/>
        </w:rPr>
      </w:pPr>
      <w:r>
        <w:rPr>
          <w:rFonts w:hint="default"/>
          <w:sz w:val="24"/>
          <w:szCs w:val="24"/>
          <w:lang w:val="en-US"/>
        </w:rPr>
        <w:t>(2-Hydroxypropyl)trimethylammonium 2-ethylhexanoate</w:t>
      </w:r>
    </w:p>
    <w:p>
      <w:pPr>
        <w:jc w:val="left"/>
        <w:rPr>
          <w:rFonts w:hint="default"/>
          <w:sz w:val="24"/>
          <w:szCs w:val="24"/>
          <w:lang w:val="en-US"/>
        </w:rPr>
      </w:pPr>
      <w:r>
        <w:rPr>
          <w:rFonts w:hint="default"/>
          <w:sz w:val="24"/>
          <w:szCs w:val="24"/>
          <w:lang w:val="en-US"/>
        </w:rPr>
        <w:t>1-Propanaminium, 2-hydroxy-N,N,N-trimethyl-, salt with 2-ethylhexanoic acid (1:1)</w:t>
      </w:r>
    </w:p>
    <w:p>
      <w:pPr>
        <w:jc w:val="left"/>
        <w:rPr>
          <w:rFonts w:hint="default"/>
          <w:sz w:val="24"/>
          <w:szCs w:val="24"/>
          <w:lang w:val="en-US"/>
        </w:rPr>
      </w:pPr>
      <w:r>
        <w:rPr>
          <w:rFonts w:hint="default"/>
          <w:sz w:val="24"/>
          <w:szCs w:val="24"/>
          <w:lang w:val="en-US"/>
        </w:rPr>
        <w:t>2-hydroxy-N,N,N-trimethylpropan-1-aminium 5-methylheptanoate</w:t>
      </w:r>
    </w:p>
    <w:p>
      <w:pPr>
        <w:jc w:val="left"/>
        <w:rPr>
          <w:rFonts w:hint="default"/>
          <w:sz w:val="24"/>
          <w:szCs w:val="24"/>
          <w:lang w:val="en-US"/>
        </w:rPr>
      </w:pPr>
      <w:r>
        <w:rPr>
          <w:rFonts w:hint="default"/>
          <w:sz w:val="24"/>
          <w:szCs w:val="24"/>
          <w:lang w:val="en-US"/>
        </w:rPr>
        <w:t>2-hydroxy-N,N,N-trimethylpropan-1-aminium 2-ethylhexanoate</w:t>
      </w:r>
    </w:p>
    <w:p>
      <w:pPr>
        <w:jc w:val="left"/>
        <w:rPr>
          <w:rFonts w:hint="default"/>
          <w:sz w:val="24"/>
          <w:szCs w:val="24"/>
          <w:lang w:val="en-US"/>
        </w:rPr>
      </w:pPr>
      <w:r>
        <w:rPr>
          <w:rFonts w:hint="default"/>
          <w:sz w:val="24"/>
          <w:szCs w:val="24"/>
          <w:lang w:val="en-US"/>
        </w:rPr>
        <w:drawing>
          <wp:inline distT="0" distB="0" distL="114300" distR="114300">
            <wp:extent cx="2819400" cy="1714500"/>
            <wp:effectExtent l="0" t="0" r="0" b="0"/>
            <wp:docPr id="1" name="图片 1" descr="TMR分子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MR分子式"/>
                    <pic:cNvPicPr>
                      <a:picLocks noChangeAspect="1"/>
                    </pic:cNvPicPr>
                  </pic:nvPicPr>
                  <pic:blipFill>
                    <a:blip r:embed="rId4"/>
                    <a:stretch>
                      <a:fillRect/>
                    </a:stretch>
                  </pic:blipFill>
                  <pic:spPr>
                    <a:xfrm>
                      <a:off x="0" y="0"/>
                      <a:ext cx="2819400" cy="1714500"/>
                    </a:xfrm>
                    <a:prstGeom prst="rect">
                      <a:avLst/>
                    </a:prstGeom>
                  </pic:spPr>
                </pic:pic>
              </a:graphicData>
            </a:graphic>
          </wp:inline>
        </w:drawing>
      </w:r>
    </w:p>
    <w:p>
      <w:pPr>
        <w:rPr>
          <w:rFonts w:hint="eastAsia"/>
          <w:sz w:val="24"/>
          <w:szCs w:val="24"/>
        </w:rPr>
      </w:pPr>
      <w:r>
        <w:rPr>
          <w:rFonts w:hint="eastAsia"/>
          <w:sz w:val="24"/>
          <w:szCs w:val="24"/>
        </w:rPr>
        <w:t>MF：</w:t>
      </w:r>
      <w:r>
        <w:rPr>
          <w:rFonts w:hint="default"/>
          <w:sz w:val="24"/>
          <w:szCs w:val="24"/>
          <w:lang w:val="en-US"/>
        </w:rPr>
        <w:t xml:space="preserve"> </w:t>
      </w:r>
      <w:r>
        <w:rPr>
          <w:rFonts w:hint="eastAsia"/>
          <w:sz w:val="24"/>
          <w:szCs w:val="24"/>
        </w:rPr>
        <w:t>C14H31NO3</w:t>
      </w:r>
    </w:p>
    <w:p>
      <w:pPr>
        <w:rPr>
          <w:rFonts w:hint="eastAsia"/>
          <w:sz w:val="24"/>
          <w:szCs w:val="24"/>
        </w:rPr>
      </w:pPr>
      <w:r>
        <w:rPr>
          <w:rFonts w:hint="eastAsia"/>
          <w:sz w:val="24"/>
          <w:szCs w:val="24"/>
        </w:rPr>
        <w:t>MW：</w:t>
      </w:r>
      <w:r>
        <w:rPr>
          <w:rFonts w:hint="eastAsia"/>
          <w:sz w:val="24"/>
          <w:szCs w:val="24"/>
        </w:rPr>
        <w:tab/>
      </w:r>
      <w:r>
        <w:rPr>
          <w:rFonts w:hint="eastAsia"/>
          <w:sz w:val="24"/>
          <w:szCs w:val="24"/>
        </w:rPr>
        <w:t>261.40084</w:t>
      </w:r>
    </w:p>
    <w:p>
      <w:pPr>
        <w:rPr>
          <w:rFonts w:hint="eastAsia"/>
          <w:sz w:val="24"/>
          <w:szCs w:val="24"/>
        </w:rPr>
      </w:pPr>
      <w:r>
        <w:rPr>
          <w:rFonts w:hint="eastAsia"/>
          <w:sz w:val="24"/>
          <w:szCs w:val="24"/>
        </w:rPr>
        <w:t>CAS：</w:t>
      </w:r>
      <w:r>
        <w:rPr>
          <w:rFonts w:hint="eastAsia"/>
          <w:sz w:val="24"/>
          <w:szCs w:val="24"/>
        </w:rPr>
        <w:tab/>
      </w:r>
      <w:r>
        <w:rPr>
          <w:rFonts w:hint="eastAsia"/>
          <w:sz w:val="24"/>
          <w:szCs w:val="24"/>
        </w:rPr>
        <w:t>62314-22-1</w:t>
      </w:r>
    </w:p>
    <w:p>
      <w:pPr>
        <w:rPr>
          <w:rFonts w:hint="default"/>
          <w:sz w:val="24"/>
          <w:szCs w:val="24"/>
          <w:lang w:val="en-US"/>
        </w:rPr>
      </w:pPr>
    </w:p>
    <w:p>
      <w:pPr>
        <w:rPr>
          <w:rFonts w:hint="eastAsia"/>
          <w:b/>
          <w:bCs/>
          <w:sz w:val="28"/>
          <w:szCs w:val="28"/>
        </w:rPr>
      </w:pPr>
      <w:r>
        <w:rPr>
          <w:rFonts w:hint="eastAsia"/>
          <w:b/>
          <w:bCs/>
          <w:sz w:val="28"/>
          <w:szCs w:val="28"/>
        </w:rPr>
        <w:t>Physical and Chemical Properties：</w:t>
      </w:r>
    </w:p>
    <w:p>
      <w:pPr>
        <w:rPr>
          <w:rFonts w:hint="eastAsia"/>
          <w:sz w:val="24"/>
          <w:szCs w:val="24"/>
        </w:rPr>
      </w:pPr>
      <w:r>
        <w:rPr>
          <w:rFonts w:hint="eastAsia"/>
          <w:sz w:val="24"/>
          <w:szCs w:val="24"/>
        </w:rPr>
        <w:t xml:space="preserve">Physical state (25°C):        Liquid    </w:t>
      </w:r>
    </w:p>
    <w:p>
      <w:pPr>
        <w:rPr>
          <w:rFonts w:hint="eastAsia"/>
          <w:sz w:val="24"/>
          <w:szCs w:val="24"/>
        </w:rPr>
      </w:pPr>
      <w:r>
        <w:rPr>
          <w:rFonts w:hint="eastAsia"/>
          <w:sz w:val="24"/>
          <w:szCs w:val="24"/>
        </w:rPr>
        <w:t xml:space="preserve">Form:        Clear    </w:t>
      </w:r>
    </w:p>
    <w:p>
      <w:pPr>
        <w:rPr>
          <w:rFonts w:hint="eastAsia"/>
          <w:sz w:val="24"/>
          <w:szCs w:val="24"/>
        </w:rPr>
      </w:pPr>
      <w:r>
        <w:rPr>
          <w:rFonts w:hint="eastAsia"/>
          <w:sz w:val="24"/>
          <w:szCs w:val="24"/>
        </w:rPr>
        <w:t xml:space="preserve">Colour:        Colorless to slightly yellow </w:t>
      </w:r>
    </w:p>
    <w:p>
      <w:pPr>
        <w:rPr>
          <w:rFonts w:hint="eastAsia"/>
          <w:sz w:val="24"/>
          <w:szCs w:val="24"/>
        </w:rPr>
      </w:pPr>
      <w:r>
        <w:rPr>
          <w:rFonts w:hint="eastAsia"/>
          <w:sz w:val="24"/>
          <w:szCs w:val="24"/>
        </w:rPr>
        <w:t>Flash Point:  121℃</w:t>
      </w:r>
    </w:p>
    <w:p>
      <w:pPr>
        <w:rPr>
          <w:rFonts w:hint="eastAsia"/>
          <w:sz w:val="24"/>
          <w:szCs w:val="24"/>
        </w:rPr>
      </w:pPr>
      <w:r>
        <w:rPr>
          <w:rFonts w:hint="eastAsia"/>
          <w:sz w:val="24"/>
          <w:szCs w:val="24"/>
        </w:rPr>
        <w:t>Viscosity:  50 mPa.s@25℃</w:t>
      </w:r>
    </w:p>
    <w:p>
      <w:pPr>
        <w:rPr>
          <w:rFonts w:hint="eastAsia"/>
          <w:sz w:val="24"/>
          <w:szCs w:val="24"/>
        </w:rPr>
      </w:pPr>
      <w:r>
        <w:rPr>
          <w:rFonts w:hint="eastAsia"/>
          <w:sz w:val="24"/>
          <w:szCs w:val="24"/>
        </w:rPr>
        <w:t>Solubility(ies):  Water Soluble</w:t>
      </w:r>
    </w:p>
    <w:p>
      <w:pPr>
        <w:rPr>
          <w:rFonts w:hint="eastAsia"/>
          <w:sz w:val="24"/>
          <w:szCs w:val="24"/>
        </w:rPr>
      </w:pPr>
      <w:r>
        <w:rPr>
          <w:rFonts w:hint="eastAsia"/>
          <w:sz w:val="24"/>
          <w:szCs w:val="24"/>
        </w:rPr>
        <w:t>Hazardous or not:  Not</w:t>
      </w:r>
    </w:p>
    <w:p>
      <w:pPr>
        <w:rPr>
          <w:rFonts w:hint="eastAsia"/>
          <w:sz w:val="24"/>
          <w:szCs w:val="24"/>
        </w:rPr>
      </w:pPr>
    </w:p>
    <w:p>
      <w:pPr>
        <w:rPr>
          <w:rFonts w:hint="eastAsia"/>
          <w:b/>
          <w:bCs/>
          <w:sz w:val="28"/>
          <w:szCs w:val="28"/>
        </w:rPr>
      </w:pPr>
      <w:r>
        <w:rPr>
          <w:rFonts w:hint="eastAsia"/>
          <w:b/>
          <w:bCs/>
          <w:sz w:val="28"/>
          <w:szCs w:val="28"/>
        </w:rPr>
        <w:t>Features and uses:</w:t>
      </w:r>
    </w:p>
    <w:p>
      <w:pPr>
        <w:rPr>
          <w:rFonts w:hint="eastAsia"/>
          <w:sz w:val="24"/>
          <w:szCs w:val="24"/>
        </w:rPr>
      </w:pPr>
      <w:r>
        <w:rPr>
          <w:rFonts w:hint="eastAsia"/>
          <w:sz w:val="24"/>
          <w:szCs w:val="24"/>
        </w:rPr>
        <w:t>This product is used in rigid foam applications. It can also be used in flexible molded foam applications.</w:t>
      </w:r>
    </w:p>
    <w:p>
      <w:pPr>
        <w:rPr>
          <w:rFonts w:hint="eastAsia"/>
          <w:sz w:val="24"/>
          <w:szCs w:val="24"/>
        </w:rPr>
      </w:pPr>
      <w:r>
        <w:rPr>
          <w:rFonts w:hint="eastAsia"/>
          <w:sz w:val="24"/>
          <w:szCs w:val="24"/>
        </w:rPr>
        <w:t>This product is supplied to large domestic polyurethane enterprises in China.</w:t>
      </w:r>
    </w:p>
    <w:p>
      <w:pPr>
        <w:rPr>
          <w:rFonts w:hint="eastAsia"/>
          <w:sz w:val="24"/>
          <w:szCs w:val="24"/>
        </w:rPr>
      </w:pPr>
    </w:p>
    <w:p>
      <w:pPr>
        <w:rPr>
          <w:rFonts w:hint="eastAsia"/>
          <w:b/>
          <w:bCs/>
          <w:sz w:val="28"/>
          <w:szCs w:val="28"/>
        </w:rPr>
      </w:pPr>
      <w:r>
        <w:rPr>
          <w:rFonts w:hint="eastAsia"/>
          <w:b/>
          <w:bCs/>
          <w:sz w:val="28"/>
          <w:szCs w:val="28"/>
        </w:rPr>
        <w:t>Storage Information：</w:t>
      </w:r>
    </w:p>
    <w:p>
      <w:pPr>
        <w:rPr>
          <w:rFonts w:hint="eastAsia"/>
          <w:sz w:val="24"/>
          <w:szCs w:val="24"/>
        </w:rPr>
      </w:pPr>
      <w:r>
        <w:rPr>
          <w:rFonts w:hint="eastAsia"/>
          <w:sz w:val="24"/>
          <w:szCs w:val="24"/>
        </w:rPr>
        <w:t>Recommends that our catalysts be stored in a dry and cool area under appropriate ventilation conditions. Each container should be closed tightly to avoid contamination with moisture or other negative influences that could change the products' performance in the end use. The optimum storage temperature is between 10 °C and 30 °C. Lower and higher storage temperatures are not preferable and should be avoided.</w:t>
      </w:r>
    </w:p>
    <w:p>
      <w:pPr>
        <w:rPr>
          <w:rFonts w:hint="eastAsia"/>
          <w:sz w:val="24"/>
          <w:szCs w:val="24"/>
        </w:rPr>
      </w:pPr>
    </w:p>
    <w:p>
      <w:pPr>
        <w:rPr>
          <w:rFonts w:hint="eastAsia"/>
          <w:b/>
          <w:bCs/>
          <w:sz w:val="28"/>
          <w:szCs w:val="28"/>
        </w:rPr>
      </w:pPr>
      <w:r>
        <w:rPr>
          <w:rFonts w:hint="eastAsia"/>
          <w:b/>
          <w:bCs/>
          <w:sz w:val="28"/>
          <w:szCs w:val="28"/>
        </w:rPr>
        <w:t>Package:</w:t>
      </w:r>
    </w:p>
    <w:p>
      <w:pPr>
        <w:rPr>
          <w:rFonts w:hint="eastAsia"/>
          <w:sz w:val="24"/>
          <w:szCs w:val="24"/>
        </w:rPr>
      </w:pPr>
      <w:r>
        <w:rPr>
          <w:rFonts w:hint="eastAsia"/>
          <w:sz w:val="24"/>
          <w:szCs w:val="24"/>
        </w:rPr>
        <w:t>200KG/Steel Drum</w:t>
      </w:r>
    </w:p>
    <w:p>
      <w:pPr>
        <w:rPr>
          <w:rFonts w:hint="eastAsia"/>
          <w:sz w:val="24"/>
          <w:szCs w:val="24"/>
        </w:rPr>
      </w:pPr>
      <w:r>
        <w:rPr>
          <w:rFonts w:hint="eastAsia"/>
          <w:sz w:val="24"/>
          <w:szCs w:val="24"/>
        </w:rPr>
        <w:t>1000KG/ IBC</w:t>
      </w:r>
    </w:p>
    <w:p/>
    <w:tbl>
      <w:tblPr>
        <w:tblStyle w:val="2"/>
        <w:tblW w:w="9930" w:type="dxa"/>
        <w:tblInd w:w="0" w:type="dxa"/>
        <w:shd w:val="clear" w:color="auto" w:fill="auto"/>
        <w:tblLayout w:type="fixed"/>
        <w:tblCellMar>
          <w:top w:w="0" w:type="dxa"/>
          <w:left w:w="0" w:type="dxa"/>
          <w:bottom w:w="0" w:type="dxa"/>
          <w:right w:w="0" w:type="dxa"/>
        </w:tblCellMar>
      </w:tblPr>
      <w:tblGrid>
        <w:gridCol w:w="2385"/>
        <w:gridCol w:w="240"/>
        <w:gridCol w:w="7305"/>
      </w:tblGrid>
      <w:tr>
        <w:tblPrEx>
          <w:shd w:val="clear" w:color="auto" w:fill="auto"/>
          <w:tblCellMar>
            <w:top w:w="0" w:type="dxa"/>
            <w:left w:w="0" w:type="dxa"/>
            <w:bottom w:w="0" w:type="dxa"/>
            <w:right w:w="0" w:type="dxa"/>
          </w:tblCellMar>
        </w:tblPrEx>
        <w:trPr>
          <w:trHeight w:val="82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Company Name:</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Newtop Chemical Materials (Shanghai) Co., Ltd.</w:t>
            </w:r>
          </w:p>
        </w:tc>
      </w:tr>
      <w:tr>
        <w:tblPrEx>
          <w:tblCellMar>
            <w:top w:w="0" w:type="dxa"/>
            <w:left w:w="0" w:type="dxa"/>
            <w:bottom w:w="0" w:type="dxa"/>
            <w:right w:w="0" w:type="dxa"/>
          </w:tblCellMar>
        </w:tblPrEx>
        <w:trPr>
          <w:trHeight w:val="82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Sales Manager：</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Hunter</w:t>
            </w:r>
          </w:p>
        </w:tc>
      </w:tr>
      <w:tr>
        <w:tblPrEx>
          <w:tblCellMar>
            <w:top w:w="0" w:type="dxa"/>
            <w:left w:w="0" w:type="dxa"/>
            <w:bottom w:w="0" w:type="dxa"/>
            <w:right w:w="0" w:type="dxa"/>
          </w:tblCellMar>
        </w:tblPrEx>
        <w:trPr>
          <w:trHeight w:val="82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E_Mail:</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FF"/>
                <w:sz w:val="24"/>
                <w:szCs w:val="24"/>
                <w:u w:val="single"/>
              </w:rPr>
            </w:pPr>
            <w:r>
              <w:rPr>
                <w:rFonts w:hint="eastAsia" w:ascii="宋体" w:hAnsi="宋体" w:eastAsia="宋体" w:cs="宋体"/>
                <w:i w:val="0"/>
                <w:kern w:val="0"/>
                <w:sz w:val="24"/>
                <w:szCs w:val="24"/>
                <w:u w:val="single"/>
                <w:lang w:val="en-US" w:eastAsia="zh-CN" w:bidi="ar"/>
              </w:rPr>
              <w:fldChar w:fldCharType="begin"/>
            </w:r>
            <w:r>
              <w:rPr>
                <w:rFonts w:hint="eastAsia" w:ascii="宋体" w:hAnsi="宋体" w:eastAsia="宋体" w:cs="宋体"/>
                <w:i w:val="0"/>
                <w:kern w:val="0"/>
                <w:sz w:val="24"/>
                <w:szCs w:val="24"/>
                <w:u w:val="single"/>
                <w:lang w:val="en-US" w:eastAsia="zh-CN" w:bidi="ar"/>
              </w:rPr>
              <w:instrText xml:space="preserve"> HYPERLINK "mailto:Hunter@newtopchem.com" \o "mailto:Hunter@newtopchem.com" </w:instrText>
            </w:r>
            <w:r>
              <w:rPr>
                <w:rFonts w:hint="eastAsia" w:ascii="宋体" w:hAnsi="宋体" w:eastAsia="宋体" w:cs="宋体"/>
                <w:i w:val="0"/>
                <w:kern w:val="0"/>
                <w:sz w:val="24"/>
                <w:szCs w:val="24"/>
                <w:u w:val="single"/>
                <w:lang w:val="en-US" w:eastAsia="zh-CN" w:bidi="ar"/>
              </w:rPr>
              <w:fldChar w:fldCharType="separate"/>
            </w:r>
            <w:r>
              <w:rPr>
                <w:rStyle w:val="4"/>
                <w:rFonts w:hint="eastAsia" w:ascii="宋体" w:hAnsi="宋体" w:eastAsia="宋体" w:cs="宋体"/>
                <w:i w:val="0"/>
                <w:sz w:val="24"/>
                <w:szCs w:val="24"/>
                <w:u w:val="single"/>
              </w:rPr>
              <w:t>Hunter@newtopchem.com</w:t>
            </w:r>
            <w:r>
              <w:rPr>
                <w:rFonts w:hint="eastAsia" w:ascii="宋体" w:hAnsi="宋体" w:eastAsia="宋体" w:cs="宋体"/>
                <w:i w:val="0"/>
                <w:kern w:val="0"/>
                <w:sz w:val="24"/>
                <w:szCs w:val="24"/>
                <w:u w:val="single"/>
                <w:lang w:val="en-US" w:eastAsia="zh-CN" w:bidi="ar"/>
              </w:rPr>
              <w:fldChar w:fldCharType="end"/>
            </w:r>
          </w:p>
        </w:tc>
      </w:tr>
      <w:tr>
        <w:tblPrEx>
          <w:tblCellMar>
            <w:top w:w="0" w:type="dxa"/>
            <w:left w:w="0" w:type="dxa"/>
            <w:bottom w:w="0" w:type="dxa"/>
            <w:right w:w="0" w:type="dxa"/>
          </w:tblCellMar>
        </w:tblPrEx>
        <w:trPr>
          <w:trHeight w:val="82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Tel:</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86-021-5657 7831</w:t>
            </w:r>
          </w:p>
        </w:tc>
      </w:tr>
      <w:tr>
        <w:tblPrEx>
          <w:tblCellMar>
            <w:top w:w="0" w:type="dxa"/>
            <w:left w:w="0" w:type="dxa"/>
            <w:bottom w:w="0" w:type="dxa"/>
            <w:right w:w="0" w:type="dxa"/>
          </w:tblCellMar>
        </w:tblPrEx>
        <w:trPr>
          <w:trHeight w:val="82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Mobile Phone:</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86-18301903153</w:t>
            </w:r>
          </w:p>
        </w:tc>
      </w:tr>
      <w:tr>
        <w:tblPrEx>
          <w:tblCellMar>
            <w:top w:w="0" w:type="dxa"/>
            <w:left w:w="0" w:type="dxa"/>
            <w:bottom w:w="0" w:type="dxa"/>
            <w:right w:w="0" w:type="dxa"/>
          </w:tblCellMar>
        </w:tblPrEx>
        <w:trPr>
          <w:trHeight w:val="82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Address:</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Rm. 1104, No. 258, Songxing West Road,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Baoshan District, Shanghai, China (Mainland)</w:t>
            </w:r>
          </w:p>
        </w:tc>
      </w:tr>
      <w:tr>
        <w:tblPrEx>
          <w:tblCellMar>
            <w:top w:w="0" w:type="dxa"/>
            <w:left w:w="0" w:type="dxa"/>
            <w:bottom w:w="0" w:type="dxa"/>
            <w:right w:w="0" w:type="dxa"/>
          </w:tblCellMar>
        </w:tblPrEx>
        <w:trPr>
          <w:trHeight w:val="82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Website:</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30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FF"/>
                <w:sz w:val="24"/>
                <w:szCs w:val="24"/>
                <w:u w:val="single"/>
              </w:rPr>
            </w:pPr>
            <w:r>
              <w:rPr>
                <w:rFonts w:hint="eastAsia" w:ascii="宋体" w:hAnsi="宋体" w:eastAsia="宋体" w:cs="宋体"/>
                <w:i w:val="0"/>
                <w:kern w:val="0"/>
                <w:sz w:val="24"/>
                <w:szCs w:val="24"/>
                <w:u w:val="single"/>
                <w:lang w:val="en-US" w:eastAsia="zh-CN" w:bidi="ar"/>
              </w:rPr>
              <w:fldChar w:fldCharType="begin"/>
            </w:r>
            <w:r>
              <w:rPr>
                <w:rFonts w:hint="eastAsia" w:ascii="宋体" w:hAnsi="宋体" w:eastAsia="宋体" w:cs="宋体"/>
                <w:i w:val="0"/>
                <w:kern w:val="0"/>
                <w:sz w:val="24"/>
                <w:szCs w:val="24"/>
                <w:u w:val="single"/>
                <w:lang w:val="en-US" w:eastAsia="zh-CN" w:bidi="ar"/>
              </w:rPr>
              <w:instrText xml:space="preserve"> HYPERLINK "http://www.newtopchem.com" \o "http://www.newtopchem.com" </w:instrText>
            </w:r>
            <w:r>
              <w:rPr>
                <w:rFonts w:hint="eastAsia" w:ascii="宋体" w:hAnsi="宋体" w:eastAsia="宋体" w:cs="宋体"/>
                <w:i w:val="0"/>
                <w:kern w:val="0"/>
                <w:sz w:val="24"/>
                <w:szCs w:val="24"/>
                <w:u w:val="single"/>
                <w:lang w:val="en-US" w:eastAsia="zh-CN" w:bidi="ar"/>
              </w:rPr>
              <w:fldChar w:fldCharType="separate"/>
            </w:r>
            <w:r>
              <w:rPr>
                <w:rStyle w:val="4"/>
                <w:rFonts w:hint="eastAsia" w:ascii="宋体" w:hAnsi="宋体" w:eastAsia="宋体" w:cs="宋体"/>
                <w:i w:val="0"/>
                <w:sz w:val="24"/>
                <w:szCs w:val="24"/>
                <w:u w:val="single"/>
              </w:rPr>
              <w:t>www.newtopchem.com</w:t>
            </w:r>
            <w:r>
              <w:rPr>
                <w:rFonts w:hint="eastAsia" w:ascii="宋体" w:hAnsi="宋体" w:eastAsia="宋体" w:cs="宋体"/>
                <w:i w:val="0"/>
                <w:kern w:val="0"/>
                <w:sz w:val="24"/>
                <w:szCs w:val="24"/>
                <w:u w:val="single"/>
                <w:lang w:val="en-US" w:eastAsia="zh-CN" w:bidi="ar"/>
              </w:rPr>
              <w:fldChar w:fldCharType="end"/>
            </w:r>
          </w:p>
        </w:tc>
      </w:tr>
    </w:tbl>
    <w:p>
      <w:pPr>
        <w:rPr>
          <w:rFonts w:hint="eastAsia"/>
          <w:sz w:val="24"/>
          <w:szCs w:val="24"/>
        </w:rPr>
      </w:pPr>
      <w:r>
        <w:rPr>
          <w:rFonts w:hint="eastAsia"/>
          <w:sz w:val="24"/>
          <w:szCs w:val="24"/>
        </w:rPr>
        <w:t xml:space="preserve"> </w:t>
      </w:r>
    </w:p>
    <w:p>
      <w:pPr>
        <w:rPr>
          <w:rFonts w:hint="eastAsia"/>
          <w:b/>
          <w:bCs/>
          <w:sz w:val="28"/>
          <w:szCs w:val="28"/>
        </w:rPr>
      </w:pPr>
      <w:r>
        <w:rPr>
          <w:rFonts w:hint="eastAsia"/>
          <w:b/>
          <w:bCs/>
          <w:sz w:val="28"/>
          <w:szCs w:val="28"/>
        </w:rPr>
        <w:t>FAQ</w:t>
      </w:r>
    </w:p>
    <w:p>
      <w:pPr>
        <w:rPr>
          <w:rFonts w:hint="eastAsia"/>
          <w:sz w:val="24"/>
          <w:szCs w:val="24"/>
        </w:rPr>
      </w:pPr>
      <w:r>
        <w:rPr>
          <w:rFonts w:hint="eastAsia"/>
          <w:sz w:val="24"/>
          <w:szCs w:val="24"/>
        </w:rPr>
        <w:t>Q1: May I get one sample before placing order?</w:t>
      </w:r>
    </w:p>
    <w:p>
      <w:pPr>
        <w:rPr>
          <w:rFonts w:hint="eastAsia"/>
          <w:sz w:val="24"/>
          <w:szCs w:val="24"/>
        </w:rPr>
      </w:pPr>
      <w:r>
        <w:rPr>
          <w:rFonts w:hint="eastAsia"/>
          <w:sz w:val="24"/>
          <w:szCs w:val="24"/>
        </w:rPr>
        <w:t>Re: Yes, Sample are available. For normal products, samples are for free and you just need to bear the freight; For those high value products, you just need to freight and certain product cost. When we both cooperate for some times or when you are our VIP customer, free sample will be offered when you need.</w:t>
      </w:r>
    </w:p>
    <w:p>
      <w:pPr>
        <w:rPr>
          <w:rFonts w:hint="eastAsia"/>
          <w:sz w:val="24"/>
          <w:szCs w:val="24"/>
        </w:rPr>
      </w:pPr>
    </w:p>
    <w:p>
      <w:pPr>
        <w:rPr>
          <w:rFonts w:hint="eastAsia"/>
          <w:sz w:val="24"/>
          <w:szCs w:val="24"/>
        </w:rPr>
      </w:pPr>
      <w:r>
        <w:rPr>
          <w:rFonts w:hint="eastAsia"/>
          <w:sz w:val="24"/>
          <w:szCs w:val="24"/>
        </w:rPr>
        <w:t>Q2: Which payment is available for your company?</w:t>
      </w:r>
    </w:p>
    <w:p>
      <w:pPr>
        <w:rPr>
          <w:rFonts w:hint="eastAsia"/>
          <w:sz w:val="24"/>
          <w:szCs w:val="24"/>
        </w:rPr>
      </w:pPr>
      <w:r>
        <w:rPr>
          <w:rFonts w:hint="eastAsia"/>
          <w:sz w:val="24"/>
          <w:szCs w:val="24"/>
        </w:rPr>
        <w:t>Re: T/T, L/C</w:t>
      </w:r>
      <w:r>
        <w:rPr>
          <w:rFonts w:hint="default"/>
          <w:sz w:val="24"/>
          <w:szCs w:val="24"/>
          <w:lang w:val="en-US"/>
        </w:rPr>
        <w:t xml:space="preserve"> ,</w:t>
      </w:r>
      <w:r>
        <w:rPr>
          <w:rFonts w:hint="eastAsia"/>
          <w:sz w:val="24"/>
          <w:szCs w:val="24"/>
        </w:rPr>
        <w:t xml:space="preserve">You can choose the one which is convenient for you. </w:t>
      </w:r>
    </w:p>
    <w:p>
      <w:pPr>
        <w:rPr>
          <w:rFonts w:hint="eastAsia"/>
          <w:sz w:val="24"/>
          <w:szCs w:val="24"/>
        </w:rPr>
      </w:pPr>
    </w:p>
    <w:p>
      <w:pPr>
        <w:rPr>
          <w:rFonts w:hint="eastAsia"/>
          <w:sz w:val="24"/>
          <w:szCs w:val="24"/>
        </w:rPr>
      </w:pPr>
      <w:r>
        <w:rPr>
          <w:rFonts w:hint="eastAsia"/>
          <w:sz w:val="24"/>
          <w:szCs w:val="24"/>
        </w:rPr>
        <w:t>Q3: How and when can I get my goods after payment?</w:t>
      </w:r>
    </w:p>
    <w:p>
      <w:pPr>
        <w:rPr>
          <w:rFonts w:hint="eastAsia"/>
          <w:sz w:val="24"/>
          <w:szCs w:val="24"/>
        </w:rPr>
      </w:pPr>
      <w:r>
        <w:rPr>
          <w:rFonts w:hint="eastAsia"/>
          <w:sz w:val="24"/>
          <w:szCs w:val="24"/>
        </w:rPr>
        <w:t xml:space="preserve">Re: For small quantity products, they will be delivered to you by international courier(DHL, FedEx, TNT etc.) </w:t>
      </w:r>
    </w:p>
    <w:p>
      <w:pPr>
        <w:rPr>
          <w:rFonts w:hint="eastAsia"/>
          <w:sz w:val="24"/>
          <w:szCs w:val="24"/>
        </w:rPr>
      </w:pPr>
      <w:r>
        <w:rPr>
          <w:rFonts w:hint="eastAsia"/>
          <w:sz w:val="24"/>
          <w:szCs w:val="24"/>
        </w:rPr>
        <w:t>or by air. Usually it will cost 3-5days that you can get the goods after delivery.For large quantity products,</w:t>
      </w:r>
    </w:p>
    <w:p>
      <w:pPr>
        <w:rPr>
          <w:rFonts w:hint="eastAsia"/>
          <w:sz w:val="24"/>
          <w:szCs w:val="24"/>
        </w:rPr>
      </w:pPr>
      <w:r>
        <w:rPr>
          <w:rFonts w:hint="eastAsia"/>
          <w:sz w:val="24"/>
          <w:szCs w:val="24"/>
        </w:rPr>
        <w:t xml:space="preserve">shipping by see is worthwhile.It will cost days to weeks to come to your destination port, which depends on </w:t>
      </w:r>
    </w:p>
    <w:p>
      <w:pPr>
        <w:rPr>
          <w:rFonts w:hint="eastAsia"/>
          <w:sz w:val="24"/>
          <w:szCs w:val="24"/>
        </w:rPr>
      </w:pPr>
      <w:r>
        <w:rPr>
          <w:rFonts w:hint="eastAsia"/>
          <w:sz w:val="24"/>
          <w:szCs w:val="24"/>
        </w:rPr>
        <w:t>where the port is.</w:t>
      </w:r>
    </w:p>
    <w:p>
      <w:pPr>
        <w:rPr>
          <w:rFonts w:hint="eastAsia"/>
          <w:sz w:val="24"/>
          <w:szCs w:val="24"/>
        </w:rPr>
      </w:pPr>
    </w:p>
    <w:p>
      <w:pPr>
        <w:rPr>
          <w:rFonts w:hint="eastAsia"/>
          <w:sz w:val="24"/>
          <w:szCs w:val="24"/>
        </w:rPr>
      </w:pPr>
      <w:r>
        <w:rPr>
          <w:rFonts w:hint="eastAsia"/>
          <w:sz w:val="24"/>
          <w:szCs w:val="24"/>
        </w:rPr>
        <w:t>Q4: Is there any possible to use my appointed label or package?</w:t>
      </w:r>
    </w:p>
    <w:p>
      <w:pPr>
        <w:rPr>
          <w:rFonts w:hint="eastAsia"/>
          <w:sz w:val="24"/>
          <w:szCs w:val="24"/>
        </w:rPr>
      </w:pPr>
      <w:r>
        <w:rPr>
          <w:rFonts w:hint="eastAsia"/>
          <w:sz w:val="24"/>
          <w:szCs w:val="24"/>
        </w:rPr>
        <w:t xml:space="preserve">Re: Yes. If needed, we'd like to use label or package according to your requirement. </w:t>
      </w:r>
    </w:p>
    <w:p>
      <w:pPr>
        <w:rPr>
          <w:rFonts w:hint="eastAsia"/>
          <w:sz w:val="24"/>
          <w:szCs w:val="24"/>
        </w:rPr>
      </w:pPr>
    </w:p>
    <w:p>
      <w:pPr>
        <w:rPr>
          <w:rFonts w:hint="eastAsia"/>
          <w:sz w:val="24"/>
          <w:szCs w:val="24"/>
        </w:rPr>
      </w:pPr>
      <w:r>
        <w:rPr>
          <w:rFonts w:hint="eastAsia"/>
          <w:sz w:val="24"/>
          <w:szCs w:val="24"/>
        </w:rPr>
        <w:t xml:space="preserve">Q5: How can you guarantee the goods you offer is qualified? </w:t>
      </w:r>
    </w:p>
    <w:p>
      <w:r>
        <w:rPr>
          <w:rFonts w:hint="eastAsia"/>
          <w:sz w:val="24"/>
          <w:szCs w:val="24"/>
        </w:rPr>
        <w:t xml:space="preserve">Re: We always believe honesty and responsibility are basis of one company, so whatever products we provide for you all are qualified. </w:t>
      </w:r>
    </w:p>
    <w:p/>
    <w:sectPr>
      <w:pgSz w:w="11906" w:h="16838"/>
      <w:pgMar w:top="400" w:right="446" w:bottom="47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7417D"/>
    <w:rsid w:val="12F87BBE"/>
    <w:rsid w:val="18A22DD1"/>
    <w:rsid w:val="35E22B28"/>
    <w:rsid w:val="3AF7417D"/>
    <w:rsid w:val="3B4D5D20"/>
    <w:rsid w:val="462E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2022-08-03T05:48:00Z</dcterms:created>
  <dc:creator>Administrator</dc:creator>
  <cp:lastModifiedBy>Administrator</cp:lastModifiedBy>
  <dcterms:modified xsi:type="dcterms:W3CDTF">2022-08-03T05:58:20Z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